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апреле 2013 года прокуратурой Серебряно-Прудского муниципального района </w:t>
      </w:r>
      <w:r>
        <w:rPr>
          <w:sz w:val="28"/>
          <w:szCs w:val="28"/>
          <w:lang w:val="ru-RU"/>
        </w:rPr>
        <w:t>Московской области была проведена проверка законодательства при предоставлении администрацией Серебряно-Прудского муниципального района земельных участков, по результатам которой выявлены много численные нарушения земельного законодательства.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дминистрацией Серебряно-Прудского муниципального района </w:t>
      </w:r>
      <w:r>
        <w:rPr>
          <w:sz w:val="28"/>
          <w:szCs w:val="28"/>
          <w:lang w:val="ru-RU"/>
        </w:rPr>
        <w:t>было рассмотрено представление от 10.04.2013 №14-58в-2013 об устранении нарушений законодательства при предоставлении земельных участков для целей, не связанных со строительством, и переводе земельных участков из одной категории в другую. По результатам рассмотрения 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